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56271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66eda295-db64-47a8-bfa6-b8d28899a83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1df534d5-ac96-4194-a312-6aacd749111a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5072144)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учебного предмета </w:t>
      </w:r>
      <w:bookmarkStart w:name="29de1efd-8519-4a02-bf33-f9fb66f5a27f" w:id="3"/>
      <w:r>
        <w:rPr>
          <w:rFonts w:ascii="Times New Roman" w:hAnsi="Times New Roman"/>
          <w:b/>
          <w:i w:val="false"/>
          <w:color w:val="000000"/>
          <w:sz w:val="28"/>
        </w:rPr>
        <w:t>Родной (русский) язык</w:t>
      </w:r>
      <w:bookmarkEnd w:id="3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</w:t>
      </w:r>
      <w:bookmarkStart w:name="c06a582c-9a7a-4955-9354-736f3b6859b9" w:id="4"/>
      <w:r>
        <w:rPr>
          <w:rFonts w:ascii="Times New Roman" w:hAnsi="Times New Roman"/>
          <w:b w:val="false"/>
          <w:i w:val="false"/>
          <w:color w:val="000000"/>
          <w:sz w:val="28"/>
        </w:rPr>
        <w:t>6, 9</w:t>
      </w:r>
      <w:bookmarkEnd w:id="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b37f9bd3-adbb-4b50-9817-0d23ffe39ea8" w:id="5"/>
      <w:r>
        <w:rPr>
          <w:rFonts w:ascii="Times New Roman" w:hAnsi="Times New Roman"/>
          <w:b/>
          <w:i w:val="false"/>
          <w:color w:val="000000"/>
          <w:sz w:val="28"/>
        </w:rPr>
        <w:t>с. Бага-Тугтун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cc92487e-3745-40e7-96a5-31cf67a5169e" w:id="6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6"/>
    </w:p>
    <w:p>
      <w:pPr>
        <w:spacing w:before="0" w:after="0"/>
        <w:ind w:left="120"/>
        <w:jc w:val="left"/>
      </w:pPr>
    </w:p>
    <w:bookmarkStart w:name="block-38562710" w:id="7"/>
    <w:p>
      <w:pPr>
        <w:sectPr>
          <w:pgSz w:w="11906" w:h="16383" w:orient="portrait"/>
        </w:sectPr>
      </w:pPr>
    </w:p>
    <w:bookmarkEnd w:id="7"/>
    <w:bookmarkEnd w:id="0"/>
    <w:bookmarkStart w:name="block-38562713" w:id="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ПОЯСНИТЕЛЬНАЯ ЗАПИСКА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РОДНОЙ (РУССКИЙ) ЯЗЫК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Рабочая программа учебного предмета «Русский язык» для 6, 9 классов составлена в соответствии с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ФГОС ООО (приказ Министерства образования и науки РФ от 17.12.2010 № 1897, с изменениями от 31.12.2015 № 1577);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Федеральным законом от 29 декабря 2012 г. № 273-ФЗ «Об образовании в Российской Федерации»;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Федеральным законом от 3 августа 2018 г. № 317-ФЗ «О внесении изменений в статьи 11 и 14 Федерального закона «Об образовании в Российской Федерации»;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Законом Российской Федерации от 25 октября 1991 г. № 1807-I «О языках народов Российской Федерации» (в редакции Федерального закона № 185-ФЗ);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- Приказом Минпросвещения России от 31. 05. 2021 г. N 287 "Об утверждении федерального государственного образовательного стандарта основного общего образования";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Рабочая программа разработана на основе Примерной рабочей программой по учебному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предмету «Русский родной язык» для образовательных организаций, реализующих программы основного общего образования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Рабочая программа ориентирована на учебник: Русский родной язык. 6 класс: учебное пособие для общеобразовательных организаций / [О,М. Александрова и др.]. М.: Просвещение, 2021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Рабочая программа ориентирована на учебник: Русский родной язык. 9 класс: учебное пособие для общеобразовательных организаций / [О,М. Александрова и др.]. М.: Просвещение, 2022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Программы рассчитаны на 34 ч. за год (1 ч. учебной недели)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РОДНОЙ (РУССКИЙ) ЯЗЫК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соответствии с этим в курсе русского родного языка актуализируются следующие цели: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bookmarkStart w:name="block-38562713" w:id="9"/>
    <w:p>
      <w:pPr>
        <w:sectPr>
          <w:pgSz w:w="11906" w:h="16383" w:orient="portrait"/>
        </w:sectPr>
      </w:pPr>
    </w:p>
    <w:bookmarkEnd w:id="9"/>
    <w:bookmarkEnd w:id="8"/>
    <w:bookmarkStart w:name="block-38562714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 РОДНОЙ (РУССКИЙ) ЯЗЫК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Раздел 1. Язык и культура (11 ч., 1 к. р.)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Контрольная работа № 1</w:t>
      </w:r>
    </w:p>
    <w:p>
      <w:pPr>
        <w:shd w:fill="ffffff"/>
        <w:spacing w:before="0" w:after="0"/>
        <w:ind w:left="120"/>
        <w:jc w:val="both"/>
      </w:pP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2. Культура речи (12 ч., 1 к.р., 1 п.р.)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Основные орфоэпические нормы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современного русского литературного языка.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род.п.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спр. на –ить; глаголы звон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ть, включ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ть и др. Варианты ударения внутри нормы: б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ловать – балов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ть, обесп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чение – обеспеч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ние.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Основные лексические нормы современного русского литературного языка.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Синонимы и точность речи. Смысловые‚ стилистические особенности употребления синонимов.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Антонимы и точность речи. Смысловые‚ стилистические особенности употребления антонимов.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омонимы и точность речи. Смысловые‚ стилистические особенности употребления лексических омонимов.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Типичные речевые ошибки‚ связанные с употреблением синонимов‚ антонимов и лексических омонимов в речи.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Основные грамматические нормы современного русского литературного языка.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Категория склонения: склонение русских и иностранных имён и фамилий; названий географических объектов; им.п. мн.ч. существительных на </w:t>
      </w:r>
      <w:r>
        <w:rPr>
          <w:rFonts w:ascii="Times New Roman" w:hAnsi="Times New Roman"/>
          <w:b w:val="false"/>
          <w:i/>
          <w:color w:val="000000"/>
          <w:sz w:val="28"/>
        </w:rPr>
        <w:t>-а/-я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 w:val="false"/>
          <w:i/>
          <w:color w:val="000000"/>
          <w:sz w:val="28"/>
        </w:rPr>
        <w:t>ы/-и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 w:val="false"/>
          <w:i/>
          <w:color w:val="000000"/>
          <w:sz w:val="28"/>
        </w:rPr>
        <w:t>директора, договоры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род.п. мн.ч. существительных м. и ср.р. с нулевым окончанием и окончанием </w:t>
      </w:r>
      <w:r>
        <w:rPr>
          <w:rFonts w:ascii="Times New Roman" w:hAnsi="Times New Roman"/>
          <w:b w:val="false"/>
          <w:i/>
          <w:color w:val="000000"/>
          <w:sz w:val="28"/>
        </w:rPr>
        <w:t>–ов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 w:val="false"/>
          <w:i/>
          <w:color w:val="000000"/>
          <w:sz w:val="28"/>
        </w:rPr>
        <w:t>баклажанов, яблок, гектаров, носков, чулок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род.п. мн.ч. существительных ж.р. на </w:t>
      </w:r>
      <w:r>
        <w:rPr>
          <w:rFonts w:ascii="Times New Roman" w:hAnsi="Times New Roman"/>
          <w:b w:val="false"/>
          <w:i/>
          <w:color w:val="000000"/>
          <w:sz w:val="28"/>
        </w:rPr>
        <w:t>–ня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 w:val="false"/>
          <w:i/>
          <w:color w:val="000000"/>
          <w:sz w:val="28"/>
        </w:rPr>
        <w:t>басен, вишен, богинь, тихонь, кухонь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тв.п. мн.ч. существительных III склонения; род.п. ед.ч. существительных м.р. (</w:t>
      </w:r>
      <w:r>
        <w:rPr>
          <w:rFonts w:ascii="Times New Roman" w:hAnsi="Times New Roman"/>
          <w:b w:val="false"/>
          <w:i/>
          <w:color w:val="000000"/>
          <w:sz w:val="28"/>
        </w:rPr>
        <w:t>стакан чая – стакан чаю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употребления форм имен существительных в соответствии с типом склонения (</w:t>
      </w:r>
      <w:r>
        <w:rPr>
          <w:rFonts w:ascii="Times New Roman" w:hAnsi="Times New Roman"/>
          <w:b w:val="false"/>
          <w:i/>
          <w:color w:val="000000"/>
          <w:sz w:val="28"/>
        </w:rPr>
        <w:t>в санаторий – не «санаторию», стукнуть т</w:t>
      </w:r>
      <w:r>
        <w:rPr>
          <w:rFonts w:ascii="Times New Roman" w:hAnsi="Times New Roman"/>
          <w:b/>
          <w:i/>
          <w:color w:val="000000"/>
          <w:sz w:val="28"/>
        </w:rPr>
        <w:t>у</w:t>
      </w:r>
      <w:r>
        <w:rPr>
          <w:rFonts w:ascii="Times New Roman" w:hAnsi="Times New Roman"/>
          <w:b w:val="false"/>
          <w:i/>
          <w:color w:val="000000"/>
          <w:sz w:val="28"/>
        </w:rPr>
        <w:t>флей – не «т</w:t>
      </w:r>
      <w:r>
        <w:rPr>
          <w:rFonts w:ascii="Times New Roman" w:hAnsi="Times New Roman"/>
          <w:b/>
          <w:i/>
          <w:color w:val="000000"/>
          <w:sz w:val="28"/>
        </w:rPr>
        <w:t>у</w:t>
      </w:r>
      <w:r>
        <w:rPr>
          <w:rFonts w:ascii="Times New Roman" w:hAnsi="Times New Roman"/>
          <w:b w:val="false"/>
          <w:i/>
          <w:color w:val="000000"/>
          <w:sz w:val="28"/>
        </w:rPr>
        <w:t>флем»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родом существительного (</w:t>
      </w:r>
      <w:r>
        <w:rPr>
          <w:rFonts w:ascii="Times New Roman" w:hAnsi="Times New Roman"/>
          <w:b w:val="false"/>
          <w:i/>
          <w:color w:val="000000"/>
          <w:sz w:val="28"/>
        </w:rPr>
        <w:t>красного платья – не «платьи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»), принадлежностью к разряду – одушевленности – неодушевленности (</w:t>
      </w:r>
      <w:r>
        <w:rPr>
          <w:rFonts w:ascii="Times New Roman" w:hAnsi="Times New Roman"/>
          <w:b w:val="false"/>
          <w:i/>
          <w:color w:val="000000"/>
          <w:sz w:val="28"/>
        </w:rPr>
        <w:t>смотреть на спутника – смотреть на спутник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особенностями окончаний форм множественного числа (</w:t>
      </w:r>
      <w:r>
        <w:rPr>
          <w:rFonts w:ascii="Times New Roman" w:hAnsi="Times New Roman"/>
          <w:b w:val="false"/>
          <w:i/>
          <w:color w:val="000000"/>
          <w:sz w:val="28"/>
        </w:rPr>
        <w:t>чулок, носков, апельсинов, мандаринов, профессора, паспорта и т. д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употребления имен прилагательных в формах сравнительной степени (</w:t>
      </w:r>
      <w:r>
        <w:rPr>
          <w:rFonts w:ascii="Times New Roman" w:hAnsi="Times New Roman"/>
          <w:b w:val="false"/>
          <w:i/>
          <w:color w:val="000000"/>
          <w:sz w:val="28"/>
        </w:rPr>
        <w:t>ближайший – не «самый ближайший»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в краткой форме (</w:t>
      </w:r>
      <w:r>
        <w:rPr>
          <w:rFonts w:ascii="Times New Roman" w:hAnsi="Times New Roman"/>
          <w:b w:val="false"/>
          <w:i/>
          <w:color w:val="000000"/>
          <w:sz w:val="28"/>
        </w:rPr>
        <w:t>медлен – медленен, торжествен – торжественен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Речевой этикет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>
      <w:pPr>
        <w:shd w:fill="ffffff"/>
        <w:spacing w:before="0" w:after="0"/>
        <w:ind w:left="120"/>
        <w:jc w:val="both"/>
      </w:pP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3. Речь. Текст (11 ч., 1 сочинение, 1 к.р.)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речь. Виды речевой деятельности 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Эффективные приёмы чтения. Предтекстовый, текстовый и послетекстовый этапы работы.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 как единица языка и речи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Разговорная речь. Рассказ о событии, «бывальщины».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Устное выступление.</w:t>
      </w:r>
    </w:p>
    <w:p>
      <w:pPr>
        <w:shd w:fill="ffffff"/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литературы. Описание внешности человека.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1. Язык и культура (11 ч)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зеркало национальной культуры и истории народа (обобщение).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Раздел 2. Культура речи (9 ч)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орфоэпические нормы современного русского литературного языка. Отражение произносительных вариантов в современных орфоэпических словарях. Нарушение орфоэпической нормы как художественный приём. Основные лексические нормы современного русского литературного языка. Лексическая сочетаемость слова и речевая избыточность. Типичные ошибки, связанные с нарушением лексической сочетаемости и речевой избыточностью. Основные грамматические нормы современного русского литературного языка. Правильное построение словосочетаний по типу управления. Нормы употребления причастных и деепричастных оборотов‚ предложений с косвенной речью. Типичные ошибки в построении сложных предложений: постановка рядом двух однозначных союзов (но и однако, что и будто, что и как будто)‚ повторение частицы бы в предложениях с союзами чтобы и если бы‚ введение в сложное предложение лишних указательных местоимений. Речевой этикет. Этика и этикет в электронной среде общения. Этикет Интернетпереписки, Интернет-дискуссии, Интернет-полемики.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3. Речь. Речевая деятельность. Текст (14 ч)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 Виды речевой деятельности. Русский язык в Интернете. Правила информационной безопасности при общении в социальных сетях. Контактное и дистантное общение. Текст как единица языка и речи. Виды преобразования текстов: аннотация, конспект. Функциональные разновидности языка. Разговорная речь. Анекдот, шутка. Официально-деловой стиль. Деловое письмо, его структурные элементы и языковые особенности. Учебно-научный стиль. Доклад, сообщение. Публицистический стиль. Проблемный очерк. Язык художественной литературы. Диалогичность в художественном произведении. Текст и интертексты. Афоризмы. Прецендентные тексты.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bookmarkStart w:name="block-38562714" w:id="11"/>
    <w:p>
      <w:pPr>
        <w:sectPr>
          <w:pgSz w:w="11906" w:h="16383" w:orient="portrait"/>
        </w:sectPr>
      </w:pPr>
    </w:p>
    <w:bookmarkEnd w:id="11"/>
    <w:bookmarkEnd w:id="10"/>
    <w:bookmarkStart w:name="block-38562709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ПЛАНИРУЕМЫЕ ОБРАЗОВАТЕЛЬНЫЕ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когнитивного компонента будут сформированы: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освоение общекультурного наследия России; В рамках ценностного и эмоционального компонентов будут сформированы: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гражданский патриотизм, любовь к Родине, чувство гордости за свою страну;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уважение к истории, культурным памятникам; - эмоционально положительное принятие своей этнической идентичности;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формирование ответственности за языковую культуру как общечеловеческую ценность;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деятельностного (поведенческого) компонента будут сформированы: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устойчивый познавательный интерес и способность к самообразованию на основе мотивации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Выпускник получит возможность для формирования: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готовности к самообразованию и самовоспитанию;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стремления к речевому самосовершенствованию;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МЕТАПРЕДМЕТНЫЕ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Ученик научится: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целеполаганию, включая постановку новых целей;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самостоятельно анализировать условия достижения цели;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планировать пути достижения целей;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уметь самостоятельно контролировать своё время и управлять им;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осуществлять познавательную рефлексию в отношении действий по решению учебных и познавательных задач;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устанавливать и сравнивать разные точки зрения, прежде чем принимать решения и делать выбор;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осуществлять взаимный контроль и оказывать в сотрудничестве необходимую взаимопомощь;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осуществлять контроль, коррекцию, оценку действий партнёра, уметь убеждать;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аргументировать свою точку зрения, спорить и отстаивать свою позицию не враждебным для оппонентов образом;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ориентироваться в содержании текста и понимать его целостный смысл;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решать учебно-познавательные и учебно-практические задачи, требующие полного и критического понимания текста;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откликаться на форму текста: оценивать не только содержание текста, но и его форму, а в целом — мастерство его исполнения;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в процессе работы с одним или несколькими источниками выявлять содержащуюся в них противоречивую, конфликтную информацию;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основам реализации проектно-исследовательской деятельности;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осуществлять расширенный поиск информации с использованием ресурсов библиотек и Интернета;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ясно, логично и точно излагать свою точку зрения, использовать языковые средства, адекватные обсуждаемой проблеме;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осуществлять редактирование и структурирование текста в соответствии с его смыслом средствами текстового редактора.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Ученик научится: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осознавать роль русского родного языка в жизни общества и государства, в современном мире;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понимать и истолковывать значения слов с национально-культурным компонентом, правильно употреблять их в речи; понимать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понимать и истолковать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понимать и истолковывать значения пословиц и поговорок, крылатых слов и выражений; знать источники крылатых слов и выражений;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понимать роль заимствованной лексики в современном русском языке; распознавать слова, заимствованные русским языком из языков народов России и мира; иметь общее представление об особенностях освоения иноязычной лексики;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определять различия между литературным языком и диалектами;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соблюдать нормы русского речевого этикета; - использовать словари,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осознавать важность соблюдения норм современного русского литературного языка для культурного человека;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соблюдать на письме и в устной речи нормы современного русского литературного языка и правила речевого этикета;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обогащать активный и потенциальный словарный запас;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соблюдать основные орфоэпические и акцентологические норм современного русского литературного языка;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употреблять слова с учётом стилистических вариантов орфоэпической;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соблюдать основные лексические нормы современного русского литературного языка;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соблюдать основные грамматические нормы современного русского литературного языка;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соблюдать основные нормы русского речевого этикета; - соблюдать основные орфографические нормы современного русского литературного языка (в рамках изученного в основном курсе);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соблюдать основные пунктуационные нормы современного русского литературного языки (в рамках изученного в основном курсе);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коммуникации), а именно: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владеть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владеть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уметь дифференцировать и интегрировать информацию прочитанного и прослушанного текста: отделять главные факты от второстепенных;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классифицировать фактический материал по определённому признаку;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выделять наиболее существенные факты; устанавливать логическую связь между выявленными фактами;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уметь соотносить части прочитанного и прослушанного текста: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отношения, логические связи между абзацами и частями текста и определять средства их выражения;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владеть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основными способами и средствами получения, переработки и преобразования информации (аннотация, конспект);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использование графиков, диаграмм, схем для представления информации;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владеть правилами информационной безопасности при общении в социальных сетях;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уметь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доклад.</w:t>
      </w:r>
    </w:p>
    <w:p>
      <w:pPr>
        <w:spacing w:before="0" w:after="0"/>
        <w:ind w:left="120"/>
        <w:jc w:val="left"/>
      </w:pPr>
    </w:p>
    <w:bookmarkStart w:name="block-38562709" w:id="13"/>
    <w:p>
      <w:pPr>
        <w:sectPr>
          <w:pgSz w:w="11906" w:h="16383" w:orient="portrait"/>
        </w:sectPr>
      </w:pPr>
    </w:p>
    <w:bookmarkEnd w:id="13"/>
    <w:bookmarkEnd w:id="12"/>
    <w:bookmarkStart w:name="block-3856271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3"/>
        <w:gridCol w:w="2640"/>
        <w:gridCol w:w="1416"/>
        <w:gridCol w:w="2452"/>
        <w:gridCol w:w="2575"/>
        <w:gridCol w:w="3838"/>
      </w:tblGrid>
      <w:tr>
        <w:trPr>
          <w:trHeight w:val="300" w:hRule="atLeast"/>
          <w:trHeight w:val="144" w:hRule="atLeast"/>
        </w:trPr>
        <w:tc>
          <w:tcPr>
            <w:tcW w:w="4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 истории русского литературного языка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Диалекты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заимствования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освоения иноязычной лексики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неологизмы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в истории и культуре народа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фразеологизмы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произношения и ударения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лексические нормы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 Типичные речевые ошибки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собственных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имён существительных, прилагательных, числительных, местоимений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Эффективные приёмы чтения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работы с текстом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Тематическое единство текста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сочинению (по картине Маковского В.Е. «Рыбачки»). План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(по картине Маковского В.Е. «Рыбачки»)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Разговорный стиль текста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текста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ответов</w:t>
            </w:r>
          </w:p>
        </w:tc>
        <w:tc>
          <w:tcPr>
            <w:tcW w:w="9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– зеркало национальной культуры и истории народа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русской культуры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20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Крылатые слова и выражения в русском языке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языка как закономерный процесс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тенденции развития современного русского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Новые иноязычные заимствования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Неологизмы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Переосмысление значения слов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Стилистическая переоценка слов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Активные процессы в области произношения и ударения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Трудные случаи лексической сочетаемости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Типичные ошибки в управлении, в построении простого осложнённого и сложного предложений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 в деловом общении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сетевого этикета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Интернете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сочинению «Правила безопасного общения в социальных сетях». План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«Правила безопасного общения в социальных сетях»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преобразования текстов: аннотация, конспект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преобразования текстов: «рерайтинг». Обработка готового текста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визуального представления информации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Разговорная речь. Анекдот, шутка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Деловое письмо, его структурные элементы и языковые особенности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проверочная работа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Научно-учебный подстиль. Доклад, сообщение. Речь оппонента на защите проекта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стиль. Проблемный очерк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Диалогичность в художественном произведении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интертекст. Афоризмы. Прецедентные тексты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62711" w:id="15"/>
    <w:p>
      <w:pPr>
        <w:sectPr>
          <w:pgSz w:w="16383" w:h="11906" w:orient="landscape"/>
        </w:sectPr>
      </w:pPr>
    </w:p>
    <w:bookmarkEnd w:id="15"/>
    <w:bookmarkEnd w:id="14"/>
    <w:bookmarkStart w:name="block-38562712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960"/>
        <w:gridCol w:w="1359"/>
        <w:gridCol w:w="2385"/>
        <w:gridCol w:w="2512"/>
        <w:gridCol w:w="1808"/>
        <w:gridCol w:w="3026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0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960"/>
        <w:gridCol w:w="1359"/>
        <w:gridCol w:w="2385"/>
        <w:gridCol w:w="2512"/>
        <w:gridCol w:w="1808"/>
        <w:gridCol w:w="3026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0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960"/>
        <w:gridCol w:w="1359"/>
        <w:gridCol w:w="2385"/>
        <w:gridCol w:w="2512"/>
        <w:gridCol w:w="1808"/>
        <w:gridCol w:w="3026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0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960"/>
        <w:gridCol w:w="1359"/>
        <w:gridCol w:w="2385"/>
        <w:gridCol w:w="2512"/>
        <w:gridCol w:w="1808"/>
        <w:gridCol w:w="3026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0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960"/>
        <w:gridCol w:w="1359"/>
        <w:gridCol w:w="2385"/>
        <w:gridCol w:w="2512"/>
        <w:gridCol w:w="1808"/>
        <w:gridCol w:w="3026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0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562712" w:id="17"/>
    <w:p>
      <w:pPr>
        <w:sectPr>
          <w:pgSz w:w="16383" w:h="11906" w:orient="landscape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